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1AF" w:rsidRDefault="00FC479E">
      <w:pPr>
        <w:pStyle w:val="ConsPlusNormal"/>
        <w:spacing w:line="32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8531AF" w:rsidRDefault="00FC479E">
      <w:pPr>
        <w:pStyle w:val="ConsPlusNormal"/>
        <w:spacing w:line="32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531AF" w:rsidRDefault="00FC479E">
      <w:pPr>
        <w:pStyle w:val="ConsPlusNormal"/>
        <w:spacing w:line="32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</w:p>
    <w:p w:rsidR="008531AF" w:rsidRDefault="00687398">
      <w:pPr>
        <w:pStyle w:val="ConsPlusNormal"/>
        <w:spacing w:line="32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43051">
        <w:rPr>
          <w:rFonts w:ascii="Times New Roman" w:hAnsi="Times New Roman" w:cs="Times New Roman"/>
          <w:sz w:val="28"/>
          <w:szCs w:val="28"/>
        </w:rPr>
        <w:t>26.02.</w:t>
      </w:r>
      <w:r w:rsidR="00FC479E">
        <w:rPr>
          <w:rFonts w:ascii="Times New Roman" w:hAnsi="Times New Roman" w:cs="Times New Roman"/>
          <w:sz w:val="28"/>
          <w:szCs w:val="28"/>
        </w:rPr>
        <w:t xml:space="preserve">2025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43051">
        <w:rPr>
          <w:rFonts w:ascii="Times New Roman" w:hAnsi="Times New Roman" w:cs="Times New Roman"/>
          <w:sz w:val="28"/>
          <w:szCs w:val="28"/>
        </w:rPr>
        <w:t xml:space="preserve"> 223</w:t>
      </w:r>
      <w:r w:rsidR="00FC4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1AF" w:rsidRDefault="008531AF">
      <w:pPr>
        <w:pStyle w:val="ConsPlusNormal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P75"/>
    <w:bookmarkEnd w:id="0"/>
    <w:p w:rsidR="008531AF" w:rsidRDefault="00FC479E">
      <w:pPr>
        <w:pStyle w:val="ConsPlusTitle"/>
        <w:spacing w:line="32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fldChar w:fldCharType="begin"/>
      </w:r>
      <w:r>
        <w:rPr>
          <w:rFonts w:ascii="Times New Roman" w:hAnsi="Times New Roman" w:cs="Times New Roman"/>
          <w:b w:val="0"/>
          <w:bCs/>
          <w:sz w:val="28"/>
          <w:szCs w:val="28"/>
        </w:rPr>
        <w:instrText>HYPERLINK \l "P75"</w:instrText>
      </w:r>
      <w:r>
        <w:rPr>
          <w:rFonts w:ascii="Times New Roman" w:hAnsi="Times New Roman" w:cs="Times New Roman"/>
          <w:b w:val="0"/>
          <w:bCs/>
          <w:sz w:val="28"/>
          <w:szCs w:val="28"/>
        </w:rPr>
        <w:fldChar w:fldCharType="separate"/>
      </w:r>
      <w:proofErr w:type="gramStart"/>
      <w:r>
        <w:rPr>
          <w:rFonts w:ascii="Times New Roman" w:hAnsi="Times New Roman" w:cs="Times New Roman"/>
          <w:b w:val="0"/>
          <w:bCs/>
          <w:sz w:val="28"/>
          <w:szCs w:val="28"/>
        </w:rPr>
        <w:t>Методик</w:t>
      </w:r>
      <w:proofErr w:type="gramEnd"/>
      <w:r>
        <w:rPr>
          <w:rFonts w:ascii="Times New Roman" w:hAnsi="Times New Roman" w:cs="Times New Roman"/>
          <w:b w:val="0"/>
          <w:bCs/>
          <w:sz w:val="28"/>
          <w:szCs w:val="28"/>
        </w:rPr>
        <w:fldChar w:fldCharType="end"/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а распределения в 2025 году </w:t>
      </w:r>
      <w:r>
        <w:rPr>
          <w:rFonts w:ascii="Times New Roman" w:hAnsi="Times New Roman" w:cs="Times New Roman"/>
          <w:b w:val="0"/>
          <w:bCs/>
          <w:spacing w:val="-6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из бюджета Таймырского Долгано-Ненецкого муниципального района бюджетам городских, сельских поселений, входящих в состав Таймырского Долгано-Ненецкого муниципального района, источником финансового обеспечения которых являются </w:t>
      </w:r>
      <w:r>
        <w:rPr>
          <w:rFonts w:ascii="Times New Roman" w:hAnsi="Times New Roman" w:cs="Times New Roman"/>
          <w:b w:val="0"/>
          <w:bCs/>
          <w:spacing w:val="-6"/>
          <w:sz w:val="28"/>
          <w:szCs w:val="28"/>
        </w:rPr>
        <w:t xml:space="preserve">иные межбюджетные трансферты из краевого бюджета бюджетам муниципальных образований Красноярского края на </w:t>
      </w:r>
      <w:r>
        <w:rPr>
          <w:rFonts w:ascii="Times New Roman" w:hAnsi="Times New Roman" w:cs="Times New Roman"/>
          <w:b w:val="0"/>
          <w:sz w:val="28"/>
          <w:szCs w:val="28"/>
        </w:rPr>
        <w:t>финансовое обеспечение (возмещение) расходов на увеличение размеров опл</w:t>
      </w:r>
      <w:bookmarkStart w:id="1" w:name="_GoBack"/>
      <w:bookmarkEnd w:id="1"/>
      <w:r>
        <w:rPr>
          <w:rFonts w:ascii="Times New Roman" w:hAnsi="Times New Roman" w:cs="Times New Roman"/>
          <w:b w:val="0"/>
          <w:sz w:val="28"/>
          <w:szCs w:val="28"/>
        </w:rPr>
        <w:t>аты труда отдельным категориям работников бюджетной сферы Красноярского края</w:t>
      </w:r>
    </w:p>
    <w:p w:rsidR="008531AF" w:rsidRDefault="008531AF">
      <w:pPr>
        <w:pStyle w:val="ConsPlusNormal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531AF" w:rsidRDefault="00FC479E">
      <w:pPr>
        <w:spacing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hyperlink w:anchor="P75" w:history="1">
        <w:proofErr w:type="gramStart"/>
        <w:r>
          <w:rPr>
            <w:rFonts w:ascii="Times New Roman" w:hAnsi="Times New Roman"/>
            <w:sz w:val="28"/>
            <w:szCs w:val="28"/>
          </w:rPr>
          <w:t>Методик</w:t>
        </w:r>
        <w:proofErr w:type="gramEnd"/>
      </w:hyperlink>
      <w:r>
        <w:rPr>
          <w:rFonts w:ascii="Times New Roman" w:hAnsi="Times New Roman"/>
          <w:sz w:val="28"/>
          <w:szCs w:val="28"/>
        </w:rPr>
        <w:t xml:space="preserve">а распределения в 2025 году </w:t>
      </w:r>
      <w:r>
        <w:rPr>
          <w:rFonts w:ascii="Times New Roman" w:hAnsi="Times New Roman"/>
          <w:spacing w:val="-6"/>
          <w:sz w:val="28"/>
          <w:szCs w:val="28"/>
        </w:rPr>
        <w:t>иных межбюджетных трансфертов</w:t>
      </w:r>
      <w:r>
        <w:rPr>
          <w:rFonts w:ascii="Times New Roman" w:hAnsi="Times New Roman"/>
          <w:sz w:val="28"/>
          <w:szCs w:val="28"/>
        </w:rPr>
        <w:t xml:space="preserve"> из бюджета Таймырского Долгано-Ненецкого муниципального района бюджетам городских, сельских поселений, входящих в состав Таймырского Долгано-Ненецкого муниципального района, источником финансового обеспечения которых являются </w:t>
      </w:r>
      <w:r>
        <w:rPr>
          <w:rFonts w:ascii="Times New Roman" w:hAnsi="Times New Roman"/>
          <w:spacing w:val="-6"/>
          <w:sz w:val="28"/>
          <w:szCs w:val="28"/>
        </w:rPr>
        <w:t xml:space="preserve">иные межбюджетные трансферты из краевого бюджета бюджетам муниципальных образований Красноярского края на </w:t>
      </w:r>
      <w:r>
        <w:rPr>
          <w:rFonts w:ascii="Times New Roman" w:eastAsia="Times New Roman" w:hAnsi="Times New Roman"/>
          <w:sz w:val="28"/>
          <w:szCs w:val="28"/>
        </w:rPr>
        <w:t xml:space="preserve">финансовое обеспечение (возмещение) расходов на увеличение размеров  оплаты труда отдельным категориям работников бюджетной сферы Красноярского края (далее –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Методика)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устанавливает механизм распределения в 2025 году бюджетам городских, сельских поселений, входящих в состав Таймырского Долгано-Ненецкого муниципального района, из бюджета Таймырского Долгано-Ненецкого муниципального района средств иных межбюджетных трансфертов, предоставленных в соответствии с постановлением Правительства Красноярского края от 28.12.2024 № 1107-п «</w:t>
      </w:r>
      <w:r>
        <w:rPr>
          <w:rFonts w:ascii="Times New Roman" w:eastAsia="Times New Roman" w:hAnsi="Times New Roman"/>
          <w:sz w:val="28"/>
          <w:szCs w:val="28"/>
        </w:rPr>
        <w:t>О предоставлении в 2025 году иных межбюджетных трансфертов из краевого  бюджета бюджетам муниципальных образований Красноярского края на финансовое обеспечение (возмещение) расходов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увеличение размеров оплаты труда отдельным категориям работников бюджетной сферы  Красноярского края</w:t>
      </w:r>
      <w:r>
        <w:rPr>
          <w:rFonts w:ascii="Times New Roman" w:hAnsi="Times New Roman"/>
          <w:sz w:val="28"/>
          <w:szCs w:val="28"/>
        </w:rPr>
        <w:t>» (далее – Постановление № 1107-п).</w:t>
      </w:r>
    </w:p>
    <w:p w:rsidR="008531AF" w:rsidRPr="00FC479E" w:rsidRDefault="00FC47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sz w:val="28"/>
          <w:szCs w:val="28"/>
        </w:rPr>
        <w:t xml:space="preserve">Для целей Методики </w:t>
      </w:r>
      <w:r w:rsidRPr="00FC479E">
        <w:rPr>
          <w:rFonts w:ascii="Times New Roman" w:eastAsia="Times New Roman" w:hAnsi="Times New Roman"/>
          <w:color w:val="000000"/>
          <w:sz w:val="28"/>
          <w:szCs w:val="28"/>
        </w:rPr>
        <w:t xml:space="preserve">под отдельными категориями работников понимаются работники, определенные в соответствии с пунктом 1.2 приложения № 1 к Постановлению </w:t>
      </w:r>
      <w:r w:rsidRPr="00FC479E">
        <w:rPr>
          <w:rFonts w:ascii="Times New Roman" w:hAnsi="Times New Roman"/>
          <w:color w:val="000000"/>
          <w:sz w:val="28"/>
          <w:szCs w:val="28"/>
        </w:rPr>
        <w:t>№ 1107-п</w:t>
      </w:r>
      <w:r w:rsidRPr="00FC479E">
        <w:rPr>
          <w:rFonts w:ascii="Times New Roman" w:hAnsi="Times New Roman"/>
          <w:color w:val="000000"/>
          <w:spacing w:val="-6"/>
          <w:sz w:val="28"/>
          <w:szCs w:val="28"/>
        </w:rPr>
        <w:t>.</w:t>
      </w:r>
    </w:p>
    <w:p w:rsidR="008531AF" w:rsidRDefault="00FC47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3. Размер иного межбюджетного трансферта бюджетам поселений определяется по формуле:</w:t>
      </w:r>
    </w:p>
    <w:p w:rsidR="008531AF" w:rsidRDefault="008531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531AF" w:rsidRDefault="00FC479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/>
          <w:sz w:val="36"/>
          <w:szCs w:val="36"/>
        </w:rPr>
        <w:t>ИМБТ</w:t>
      </w:r>
      <w:proofErr w:type="gramStart"/>
      <w:r>
        <w:rPr>
          <w:rFonts w:ascii="Times New Roman" w:eastAsia="Times New Roman" w:hAnsi="Times New Roman"/>
          <w:sz w:val="28"/>
          <w:szCs w:val="28"/>
          <w:vertAlign w:val="subscript"/>
        </w:rPr>
        <w:t>i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=</w:t>
      </w:r>
      <w:r>
        <w:rPr>
          <w:rFonts w:ascii="Times New Roman" w:eastAsia="Times New Roman" w:hAnsi="Times New Roman"/>
          <w:sz w:val="36"/>
          <w:szCs w:val="36"/>
        </w:rPr>
        <w:t xml:space="preserve"> (</w:t>
      </w:r>
      <w:proofErr w:type="spellStart"/>
      <w:r>
        <w:rPr>
          <w:rFonts w:ascii="Times New Roman" w:eastAsia="Times New Roman" w:hAnsi="Times New Roman"/>
          <w:sz w:val="36"/>
          <w:szCs w:val="36"/>
        </w:rPr>
        <w:t>ОТ</w:t>
      </w:r>
      <w:r>
        <w:rPr>
          <w:rFonts w:ascii="Times New Roman" w:eastAsia="Times New Roman" w:hAnsi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eastAsia="Times New Roman" w:hAnsi="Times New Roman"/>
          <w:sz w:val="28"/>
          <w:szCs w:val="28"/>
          <w:vertAlign w:val="subscript"/>
        </w:rPr>
        <w:t xml:space="preserve"> 2025</w:t>
      </w:r>
      <w:r>
        <w:rPr>
          <w:rFonts w:ascii="Times New Roman" w:eastAsia="Times New Roman" w:hAnsi="Times New Roman"/>
          <w:sz w:val="36"/>
          <w:szCs w:val="36"/>
        </w:rPr>
        <w:t xml:space="preserve"> — </w:t>
      </w:r>
      <w:proofErr w:type="spellStart"/>
      <w:r>
        <w:rPr>
          <w:rFonts w:ascii="Times New Roman" w:eastAsia="Times New Roman" w:hAnsi="Times New Roman"/>
          <w:sz w:val="36"/>
          <w:szCs w:val="36"/>
        </w:rPr>
        <w:t>ОТ</w:t>
      </w:r>
      <w:r>
        <w:rPr>
          <w:rFonts w:ascii="Times New Roman" w:eastAsia="Times New Roman" w:hAnsi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eastAsia="Times New Roman" w:hAnsi="Times New Roman"/>
          <w:sz w:val="28"/>
          <w:szCs w:val="28"/>
          <w:vertAlign w:val="subscript"/>
        </w:rPr>
        <w:t xml:space="preserve"> 2024</w:t>
      </w:r>
      <w:r>
        <w:rPr>
          <w:rFonts w:ascii="Times New Roman" w:eastAsia="Times New Roman" w:hAnsi="Times New Roman"/>
          <w:sz w:val="36"/>
          <w:szCs w:val="36"/>
        </w:rPr>
        <w:t>) х СВЗ</w:t>
      </w:r>
    </w:p>
    <w:p w:rsidR="008531AF" w:rsidRDefault="00FC47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где:</w:t>
      </w:r>
    </w:p>
    <w:p w:rsidR="008531AF" w:rsidRDefault="00FC47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ИМБТ</w:t>
      </w:r>
      <w:proofErr w:type="gramStart"/>
      <w:r>
        <w:rPr>
          <w:rFonts w:ascii="Times New Roman" w:hAnsi="Times New Roman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– размер иного межбюджетного трансферта для i-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городского, сельского поселения, рублей;</w:t>
      </w:r>
    </w:p>
    <w:p w:rsidR="008531AF" w:rsidRDefault="00FC47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vertAlign w:val="subscript"/>
          <w:lang w:eastAsia="ru-RU"/>
        </w:rPr>
        <w:t>i</w:t>
      </w:r>
      <w:r>
        <w:rPr>
          <w:rFonts w:ascii="Times New Roman" w:eastAsia="Times New Roman" w:hAnsi="Times New Roman"/>
          <w:sz w:val="28"/>
          <w:szCs w:val="28"/>
          <w:vertAlign w:val="subscript"/>
        </w:rPr>
        <w:t xml:space="preserve">2025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</w:rPr>
        <w:t xml:space="preserve"> объем расходов на оплату труда отдельных категорий  работников, указанных в пункте 2 Методики, по i-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городскому, сельскому поселению, входящему в состав Таймырского Долгано-Ненецкого муниципального района, рассчитанный в соответствии с Постановлением </w:t>
      </w:r>
      <w:r>
        <w:rPr>
          <w:rFonts w:ascii="Times New Roman" w:eastAsia="Times New Roman" w:hAnsi="Times New Roman"/>
          <w:sz w:val="28"/>
          <w:szCs w:val="28"/>
        </w:rPr>
        <w:lastRenderedPageBreak/>
        <w:t>Совета администрации Красноярского края от 14.11.2006 № 348-п «О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органов» и Постановлением Совета администрации Красноярского края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без учета изменений, предусмотренных абзацами  восьмым, двадцать четвертым пункта 1 постановления Правительства Красноярского края от 16.12.2024 № 1028-п «О внесении изменений в постановление Совета администрации Красноярского края от 29.12.2007 № 512-п «О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на 2025 год, тыс. рублей; </w:t>
      </w:r>
      <w:proofErr w:type="gramEnd"/>
    </w:p>
    <w:p w:rsidR="008531AF" w:rsidRDefault="00FC47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vertAlign w:val="subscript"/>
          <w:lang w:eastAsia="ru-RU"/>
        </w:rPr>
        <w:t>i</w:t>
      </w:r>
      <w:r>
        <w:rPr>
          <w:rFonts w:ascii="Times New Roman" w:eastAsia="Times New Roman" w:hAnsi="Times New Roman"/>
          <w:sz w:val="28"/>
          <w:szCs w:val="28"/>
          <w:vertAlign w:val="subscript"/>
        </w:rPr>
        <w:t xml:space="preserve">2024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</w:rPr>
        <w:t xml:space="preserve"> объем расходов на оплату труда отдельных категорий  работников, указанных в пункте 2 Методики, предусмотренный в бюджете  i-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гo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городского, сельского поселения, входящего в состав Таймырского Долгано-Ненецкого муниципального района, на 2024 год, тыс. рублей; </w:t>
      </w:r>
    </w:p>
    <w:p w:rsidR="008531AF" w:rsidRDefault="00FC47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СВЗ - коэффициент, учитывающий выплату страховых взносов  по обязательному социальному страхованию, в том числе взноса по страховым  тарифам на обязательное социальное страхование от несчастных случаев на производстве и профессиональных заболеваний (1,302).</w:t>
      </w:r>
    </w:p>
    <w:sectPr w:rsidR="008531AF">
      <w:headerReference w:type="default" r:id="rId8"/>
      <w:pgSz w:w="11906" w:h="16838"/>
      <w:pgMar w:top="851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606" w:rsidRDefault="00D77606">
      <w:pPr>
        <w:spacing w:after="0" w:line="240" w:lineRule="auto"/>
      </w:pPr>
      <w:r>
        <w:separator/>
      </w:r>
    </w:p>
  </w:endnote>
  <w:endnote w:type="continuationSeparator" w:id="0">
    <w:p w:rsidR="00D77606" w:rsidRDefault="00D77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606" w:rsidRDefault="00D77606">
      <w:pPr>
        <w:spacing w:after="0" w:line="240" w:lineRule="auto"/>
      </w:pPr>
      <w:r>
        <w:separator/>
      </w:r>
    </w:p>
  </w:footnote>
  <w:footnote w:type="continuationSeparator" w:id="0">
    <w:p w:rsidR="00D77606" w:rsidRDefault="00D77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1AF" w:rsidRDefault="008531AF">
    <w:pPr>
      <w:pStyle w:val="ab"/>
      <w:jc w:val="right"/>
    </w:pPr>
  </w:p>
  <w:p w:rsidR="008531AF" w:rsidRDefault="008531A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10527"/>
    <w:multiLevelType w:val="hybridMultilevel"/>
    <w:tmpl w:val="9FDEAB72"/>
    <w:lvl w:ilvl="0" w:tplc="DE5E434C">
      <w:start w:val="1"/>
      <w:numFmt w:val="decimal"/>
      <w:lvlText w:val="%1."/>
      <w:lvlJc w:val="left"/>
      <w:pPr>
        <w:ind w:left="720" w:hanging="360"/>
      </w:pPr>
    </w:lvl>
    <w:lvl w:ilvl="1" w:tplc="0DDE7F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4C14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4206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BA90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34CC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9C53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0A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6EF5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5F5E48"/>
    <w:multiLevelType w:val="hybridMultilevel"/>
    <w:tmpl w:val="758E2AE4"/>
    <w:lvl w:ilvl="0" w:tplc="E20683EA">
      <w:start w:val="12"/>
      <w:numFmt w:val="decimal"/>
      <w:lvlText w:val="%1."/>
      <w:lvlJc w:val="left"/>
      <w:pPr>
        <w:ind w:left="1226" w:hanging="375"/>
      </w:pPr>
    </w:lvl>
    <w:lvl w:ilvl="1" w:tplc="1F926792">
      <w:start w:val="1"/>
      <w:numFmt w:val="lowerLetter"/>
      <w:lvlText w:val="%2."/>
      <w:lvlJc w:val="left"/>
      <w:pPr>
        <w:ind w:left="1931" w:hanging="360"/>
      </w:pPr>
    </w:lvl>
    <w:lvl w:ilvl="2" w:tplc="CAB4FA8C">
      <w:start w:val="1"/>
      <w:numFmt w:val="lowerRoman"/>
      <w:lvlText w:val="%3."/>
      <w:lvlJc w:val="right"/>
      <w:pPr>
        <w:ind w:left="2651" w:hanging="180"/>
      </w:pPr>
    </w:lvl>
    <w:lvl w:ilvl="3" w:tplc="85C2001A">
      <w:start w:val="1"/>
      <w:numFmt w:val="decimal"/>
      <w:lvlText w:val="%4."/>
      <w:lvlJc w:val="left"/>
      <w:pPr>
        <w:ind w:left="3371" w:hanging="360"/>
      </w:pPr>
    </w:lvl>
    <w:lvl w:ilvl="4" w:tplc="63E817A0">
      <w:start w:val="1"/>
      <w:numFmt w:val="lowerLetter"/>
      <w:lvlText w:val="%5."/>
      <w:lvlJc w:val="left"/>
      <w:pPr>
        <w:ind w:left="4091" w:hanging="360"/>
      </w:pPr>
    </w:lvl>
    <w:lvl w:ilvl="5" w:tplc="D4C8BA1A">
      <w:start w:val="1"/>
      <w:numFmt w:val="lowerRoman"/>
      <w:lvlText w:val="%6."/>
      <w:lvlJc w:val="right"/>
      <w:pPr>
        <w:ind w:left="4811" w:hanging="180"/>
      </w:pPr>
    </w:lvl>
    <w:lvl w:ilvl="6" w:tplc="2FC05EB6">
      <w:start w:val="1"/>
      <w:numFmt w:val="decimal"/>
      <w:lvlText w:val="%7."/>
      <w:lvlJc w:val="left"/>
      <w:pPr>
        <w:ind w:left="5531" w:hanging="360"/>
      </w:pPr>
    </w:lvl>
    <w:lvl w:ilvl="7" w:tplc="C8D63296">
      <w:start w:val="1"/>
      <w:numFmt w:val="lowerLetter"/>
      <w:lvlText w:val="%8."/>
      <w:lvlJc w:val="left"/>
      <w:pPr>
        <w:ind w:left="6251" w:hanging="360"/>
      </w:pPr>
    </w:lvl>
    <w:lvl w:ilvl="8" w:tplc="F8A0CF2E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4A8594C"/>
    <w:multiLevelType w:val="hybridMultilevel"/>
    <w:tmpl w:val="14568E6A"/>
    <w:lvl w:ilvl="0" w:tplc="F90AA478">
      <w:start w:val="1"/>
      <w:numFmt w:val="decimal"/>
      <w:lvlText w:val="%1."/>
      <w:lvlJc w:val="left"/>
      <w:pPr>
        <w:ind w:left="2912" w:hanging="360"/>
      </w:pPr>
    </w:lvl>
    <w:lvl w:ilvl="1" w:tplc="178CC0B2">
      <w:start w:val="1"/>
      <w:numFmt w:val="lowerLetter"/>
      <w:lvlText w:val="%2."/>
      <w:lvlJc w:val="left"/>
      <w:pPr>
        <w:ind w:left="1789" w:hanging="360"/>
      </w:pPr>
    </w:lvl>
    <w:lvl w:ilvl="2" w:tplc="232808E2">
      <w:start w:val="1"/>
      <w:numFmt w:val="lowerRoman"/>
      <w:lvlText w:val="%3."/>
      <w:lvlJc w:val="right"/>
      <w:pPr>
        <w:ind w:left="2509" w:hanging="180"/>
      </w:pPr>
    </w:lvl>
    <w:lvl w:ilvl="3" w:tplc="0B60E63A">
      <w:start w:val="1"/>
      <w:numFmt w:val="decimal"/>
      <w:lvlText w:val="%4."/>
      <w:lvlJc w:val="left"/>
      <w:pPr>
        <w:ind w:left="3229" w:hanging="360"/>
      </w:pPr>
    </w:lvl>
    <w:lvl w:ilvl="4" w:tplc="BF8E2D0E">
      <w:start w:val="1"/>
      <w:numFmt w:val="lowerLetter"/>
      <w:lvlText w:val="%5."/>
      <w:lvlJc w:val="left"/>
      <w:pPr>
        <w:ind w:left="3949" w:hanging="360"/>
      </w:pPr>
    </w:lvl>
    <w:lvl w:ilvl="5" w:tplc="CA3ABBB2">
      <w:start w:val="1"/>
      <w:numFmt w:val="lowerRoman"/>
      <w:lvlText w:val="%6."/>
      <w:lvlJc w:val="right"/>
      <w:pPr>
        <w:ind w:left="4669" w:hanging="180"/>
      </w:pPr>
    </w:lvl>
    <w:lvl w:ilvl="6" w:tplc="0B4CE1D6">
      <w:start w:val="1"/>
      <w:numFmt w:val="decimal"/>
      <w:lvlText w:val="%7."/>
      <w:lvlJc w:val="left"/>
      <w:pPr>
        <w:ind w:left="5389" w:hanging="360"/>
      </w:pPr>
    </w:lvl>
    <w:lvl w:ilvl="7" w:tplc="6D6E804C">
      <w:start w:val="1"/>
      <w:numFmt w:val="lowerLetter"/>
      <w:lvlText w:val="%8."/>
      <w:lvlJc w:val="left"/>
      <w:pPr>
        <w:ind w:left="6109" w:hanging="360"/>
      </w:pPr>
    </w:lvl>
    <w:lvl w:ilvl="8" w:tplc="5E10F33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E924BE"/>
    <w:multiLevelType w:val="hybridMultilevel"/>
    <w:tmpl w:val="7A824070"/>
    <w:lvl w:ilvl="0" w:tplc="965CB98C">
      <w:start w:val="1"/>
      <w:numFmt w:val="decimal"/>
      <w:lvlText w:val="%1."/>
      <w:lvlJc w:val="left"/>
      <w:pPr>
        <w:ind w:left="900" w:hanging="360"/>
      </w:pPr>
    </w:lvl>
    <w:lvl w:ilvl="1" w:tplc="DF3E0516">
      <w:start w:val="1"/>
      <w:numFmt w:val="lowerLetter"/>
      <w:lvlText w:val="%2."/>
      <w:lvlJc w:val="left"/>
      <w:pPr>
        <w:ind w:left="1620" w:hanging="360"/>
      </w:pPr>
    </w:lvl>
    <w:lvl w:ilvl="2" w:tplc="5AB448EC">
      <w:start w:val="1"/>
      <w:numFmt w:val="lowerRoman"/>
      <w:lvlText w:val="%3."/>
      <w:lvlJc w:val="right"/>
      <w:pPr>
        <w:ind w:left="2340" w:hanging="180"/>
      </w:pPr>
    </w:lvl>
    <w:lvl w:ilvl="3" w:tplc="EEFA80EA">
      <w:start w:val="1"/>
      <w:numFmt w:val="decimal"/>
      <w:lvlText w:val="%4."/>
      <w:lvlJc w:val="left"/>
      <w:pPr>
        <w:ind w:left="3060" w:hanging="360"/>
      </w:pPr>
    </w:lvl>
    <w:lvl w:ilvl="4" w:tplc="1472B006">
      <w:start w:val="1"/>
      <w:numFmt w:val="lowerLetter"/>
      <w:lvlText w:val="%5."/>
      <w:lvlJc w:val="left"/>
      <w:pPr>
        <w:ind w:left="3780" w:hanging="360"/>
      </w:pPr>
    </w:lvl>
    <w:lvl w:ilvl="5" w:tplc="461E4EC0">
      <w:start w:val="1"/>
      <w:numFmt w:val="lowerRoman"/>
      <w:lvlText w:val="%6."/>
      <w:lvlJc w:val="right"/>
      <w:pPr>
        <w:ind w:left="4500" w:hanging="180"/>
      </w:pPr>
    </w:lvl>
    <w:lvl w:ilvl="6" w:tplc="6B925C96">
      <w:start w:val="1"/>
      <w:numFmt w:val="decimal"/>
      <w:lvlText w:val="%7."/>
      <w:lvlJc w:val="left"/>
      <w:pPr>
        <w:ind w:left="5220" w:hanging="360"/>
      </w:pPr>
    </w:lvl>
    <w:lvl w:ilvl="7" w:tplc="82C07FBE">
      <w:start w:val="1"/>
      <w:numFmt w:val="lowerLetter"/>
      <w:lvlText w:val="%8."/>
      <w:lvlJc w:val="left"/>
      <w:pPr>
        <w:ind w:left="5940" w:hanging="360"/>
      </w:pPr>
    </w:lvl>
    <w:lvl w:ilvl="8" w:tplc="FF10B2FE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31AF"/>
    <w:rsid w:val="00687398"/>
    <w:rsid w:val="008531AF"/>
    <w:rsid w:val="00943051"/>
    <w:rsid w:val="00D77606"/>
    <w:rsid w:val="00FC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Arial" w:eastAsia="Times New Roman" w:hAnsi="Arial"/>
      <w:sz w:val="28"/>
      <w:szCs w:val="20"/>
      <w:lang w:eastAsia="ru-RU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</w:pPr>
    <w:rPr>
      <w:rFonts w:eastAsia="Times New Roman" w:cs="Calibri"/>
      <w:sz w:val="22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</w:rPr>
  </w:style>
  <w:style w:type="paragraph" w:customStyle="1" w:styleId="ConsNormal">
    <w:name w:val="ConsNormal"/>
    <w:pPr>
      <w:widowControl w:val="0"/>
      <w:ind w:firstLine="720"/>
    </w:pPr>
    <w:rPr>
      <w:rFonts w:ascii="Courier New" w:eastAsia="Times New Roman" w:hAnsi="Courier New"/>
    </w:rPr>
  </w:style>
  <w:style w:type="character" w:customStyle="1" w:styleId="10">
    <w:name w:val="Заголовок 1 Знак"/>
    <w:link w:val="1"/>
    <w:rPr>
      <w:rFonts w:ascii="Times New Roman" w:eastAsia="Times New Roman" w:hAnsi="Times New Roman"/>
      <w:b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/>
      <w:b/>
      <w:sz w:val="28"/>
    </w:rPr>
  </w:style>
  <w:style w:type="character" w:styleId="afb">
    <w:name w:val="line number"/>
    <w:basedOn w:val="a0"/>
    <w:uiPriority w:val="99"/>
    <w:semiHidden/>
    <w:unhideWhenUsed/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semiHidden/>
    <w:rPr>
      <w:sz w:val="22"/>
      <w:szCs w:val="22"/>
      <w:lang w:eastAsia="en-US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Рыбкина</dc:creator>
  <cp:lastModifiedBy>kotlyarova</cp:lastModifiedBy>
  <cp:revision>26</cp:revision>
  <cp:lastPrinted>2025-02-26T04:30:00Z</cp:lastPrinted>
  <dcterms:created xsi:type="dcterms:W3CDTF">2020-11-24T08:54:00Z</dcterms:created>
  <dcterms:modified xsi:type="dcterms:W3CDTF">2025-02-26T04:30:00Z</dcterms:modified>
  <cp:version>1048576</cp:version>
</cp:coreProperties>
</file>